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185C10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185C10" w:rsidRDefault="00743398">
            <w:pPr>
              <w:spacing w:after="0" w:line="240" w:lineRule="auto"/>
            </w:pPr>
            <w:bookmarkStart w:id="0" w:name="_GoBack"/>
            <w:bookmarkEnd w:id="0"/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185C10" w:rsidRDefault="00743398">
            <w:pPr>
              <w:spacing w:after="0" w:line="240" w:lineRule="auto"/>
            </w:pPr>
            <w:r>
              <w:t>40818</w:t>
            </w:r>
          </w:p>
        </w:tc>
      </w:tr>
      <w:tr w:rsidR="00185C10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185C10" w:rsidRDefault="00743398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185C10" w:rsidRDefault="00743398">
            <w:pPr>
              <w:spacing w:after="0" w:line="240" w:lineRule="auto"/>
            </w:pPr>
            <w:r>
              <w:t>AGENCIJA ZA DRUŠTVENO POTICANU STANOGRADNJU GRADA RIJEKE</w:t>
            </w:r>
          </w:p>
        </w:tc>
      </w:tr>
      <w:tr w:rsidR="00185C10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185C10" w:rsidRDefault="00743398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185C10" w:rsidRDefault="00743398">
            <w:pPr>
              <w:spacing w:after="0" w:line="240" w:lineRule="auto"/>
            </w:pPr>
            <w:r>
              <w:t>21</w:t>
            </w:r>
          </w:p>
        </w:tc>
      </w:tr>
    </w:tbl>
    <w:p w:rsidR="00185C10" w:rsidRDefault="00743398">
      <w:r>
        <w:br/>
      </w:r>
    </w:p>
    <w:p w:rsidR="00185C10" w:rsidRDefault="00743398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185C10" w:rsidRDefault="00743398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185C10" w:rsidRDefault="00743398">
      <w:pPr>
        <w:spacing w:line="240" w:lineRule="auto"/>
        <w:jc w:val="center"/>
      </w:pPr>
      <w:r>
        <w:rPr>
          <w:b/>
          <w:sz w:val="28"/>
        </w:rPr>
        <w:t>I - III 2026.</w:t>
      </w:r>
    </w:p>
    <w:p w:rsidR="00185C10" w:rsidRDefault="00185C10"/>
    <w:p w:rsidR="00185C10" w:rsidRDefault="00743398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:rsidR="00185C10" w:rsidRDefault="00743398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85C1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85C1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73.987,99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76.237,38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103,0</w:t>
            </w:r>
          </w:p>
        </w:tc>
      </w:tr>
      <w:tr w:rsidR="00185C1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RASHODI POSLOVANJA (šifre </w:t>
            </w:r>
            <w:r>
              <w:rPr>
                <w:sz w:val="18"/>
              </w:rPr>
              <w:t>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78.555,43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78.767,18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100,3</w:t>
            </w:r>
          </w:p>
        </w:tc>
      </w:tr>
      <w:tr w:rsidR="00185C1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185C1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POSLOVANJA (šifre Z005-6)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4.567,44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2.529,80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55,4</w:t>
            </w:r>
          </w:p>
        </w:tc>
      </w:tr>
      <w:tr w:rsidR="00185C1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185C1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Rashodi za nabavu nefinancijske imovine (šifre </w:t>
            </w:r>
            <w:r>
              <w:rPr>
                <w:sz w:val="18"/>
              </w:rPr>
              <w:t>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185C1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185C1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PRIHODA OD NEFINANCIJSKE IMOVINE (šifre 7-4,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X002, 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185C1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189.860,88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95.667,58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50,4</w:t>
            </w:r>
          </w:p>
        </w:tc>
      </w:tr>
      <w:tr w:rsidR="00185C1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Izdaci za financijsku imovinu i </w:t>
            </w:r>
            <w:r>
              <w:rPr>
                <w:sz w:val="18"/>
              </w:rPr>
              <w:t>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189.860,88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95.667,58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50,4</w:t>
            </w:r>
          </w:p>
        </w:tc>
      </w:tr>
      <w:tr w:rsidR="00185C1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185C1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185C1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185C1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4.567,44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2.529,80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55,4</w:t>
            </w:r>
          </w:p>
        </w:tc>
      </w:tr>
    </w:tbl>
    <w:p w:rsidR="00185C10" w:rsidRDefault="00185C10">
      <w:pPr>
        <w:spacing w:after="0"/>
      </w:pPr>
    </w:p>
    <w:p w:rsidR="00185C10" w:rsidRDefault="00743398">
      <w:r>
        <w:t>U razdoblju od 01.01. do 31.03.2026. ukupni prihodi poslovanja iznose 76.237,38 eura što predstavlja povećanje ostvarenja od 3,0% te su ukupni rashodi poslovanja iznosili 78.767,18 eura što je povećanje ostvarenja od 0,3% u odnosu na ostvarenje u izvještaj</w:t>
      </w:r>
      <w:r>
        <w:t>nom razdoblju prethodne godine. Oba povećanja nisu značajna, ali s obzirom da su ostvareni rashodi nešto viši u odnosu na prihode, u izvještajnom razdoblju je ostvaren manjak prihoda poslovanja u visini 2.529,80 eura. Primici od financijske imovine i izdac</w:t>
      </w:r>
      <w:r>
        <w:t xml:space="preserve">i za otplate zajmova bilježe isto </w:t>
      </w:r>
      <w:r>
        <w:lastRenderedPageBreak/>
        <w:t xml:space="preserve"> ostvarenje od 95.667,58 eura, što predstavlja smanjenje od 49,6% u odnosu na prethodnu godinu. Razlog smanjenja je smanjenje primitaka od financijske imovine, s obzirom da u tekućoj godini nije bilo prijevremenih otplata </w:t>
      </w:r>
      <w:r>
        <w:t>glavnica zajmova danih građanima (tzv. III obrok). Ovi prihodi se po naplati od građana vraćaju u državni i gradski proračun, odnosno njima se otplaćuju glavnice primljenih zajmova od drugih razina vlasti. Svim primicima od financijske imovine i zaduživanj</w:t>
      </w:r>
      <w:r>
        <w:t>a pokrili su se izdaci za financijsku imovinu i otplate zajmova, stoga nije ostvaren ni manjak ni višak od financijske imovine u izvještajnom razdoblju tekuće godine. Slijedom navedenog ostvareni manjak prihoda i primitaka iznosi 2.529,80 eura i predstavlj</w:t>
      </w:r>
      <w:r>
        <w:t>a metodološki manjak zbog iskazivanja prihoda prema novčanom načelu, a rashoda prema obračunskom. Višak prihoda poslovanja – preneseni iznosi 220.914,59 eura, dok višak prihoda od nefinancijske imovine – preneseni iznosi 4.747,14 eura te je višak prihoda i</w:t>
      </w:r>
      <w:r>
        <w:t xml:space="preserve"> primitaka raspoloživ u sljedećem razdoblju na kraju izvještajnog razdoblja iskazan u visini 223.131,93 eura.</w:t>
      </w:r>
    </w:p>
    <w:p w:rsidR="00185C10" w:rsidRDefault="00743398">
      <w:r>
        <w:br/>
      </w:r>
    </w:p>
    <w:p w:rsidR="00185C10" w:rsidRDefault="00743398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85C1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tekuće </w:t>
            </w:r>
            <w:r>
              <w:rPr>
                <w:b/>
                <w:sz w:val="18"/>
              </w:rPr>
              <w:t>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85C1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73.987,99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76.237,38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103,0</w:t>
            </w:r>
          </w:p>
        </w:tc>
      </w:tr>
    </w:tbl>
    <w:p w:rsidR="00185C10" w:rsidRDefault="00185C10">
      <w:pPr>
        <w:spacing w:after="0"/>
      </w:pPr>
    </w:p>
    <w:p w:rsidR="00185C10" w:rsidRDefault="00743398">
      <w:r>
        <w:t>Prihodi poslovanja ostvareni u ovom izvještajnom razdoblju na razini su ostvarenja u izvještajnom razdoblju prethodne godine. Neznatno povećanje rezultat je nešto većih prihoda iz nadležnog proračuna za financiranje rashoda poslovanja.</w:t>
      </w:r>
    </w:p>
    <w:p w:rsidR="00185C10" w:rsidRDefault="00185C10"/>
    <w:p w:rsidR="00185C10" w:rsidRDefault="00743398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85C1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</w:t>
            </w:r>
            <w:r>
              <w:rPr>
                <w:b/>
                <w:sz w:val="18"/>
              </w:rPr>
              <w:t xml:space="preserve">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85C1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financijske imovine (šifre 6412 do 6419)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0,57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0,54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94,7</w:t>
            </w:r>
          </w:p>
        </w:tc>
      </w:tr>
    </w:tbl>
    <w:p w:rsidR="00185C10" w:rsidRDefault="00185C10">
      <w:pPr>
        <w:spacing w:after="0"/>
      </w:pPr>
    </w:p>
    <w:p w:rsidR="00185C10" w:rsidRDefault="00743398">
      <w:r>
        <w:t>Prihodi od financijske imovine sastoje se od kamate na depozite po viđenju u iznosu 0,54 eura i na razini su ostvarenja prethodne godine.</w:t>
      </w:r>
    </w:p>
    <w:p w:rsidR="00185C10" w:rsidRDefault="00185C10"/>
    <w:p w:rsidR="00185C10" w:rsidRDefault="00743398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85C1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85C1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kamata na dane zajmove (šifre 6431 do 6437)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23.033,20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20.282,74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88,1</w:t>
            </w:r>
          </w:p>
        </w:tc>
      </w:tr>
    </w:tbl>
    <w:p w:rsidR="00185C10" w:rsidRDefault="00185C10">
      <w:pPr>
        <w:spacing w:after="0"/>
      </w:pPr>
    </w:p>
    <w:p w:rsidR="00185C10" w:rsidRDefault="00743398">
      <w:r>
        <w:lastRenderedPageBreak/>
        <w:t>Prihodi od kamata na dane zajmove po svojoj strukturi sastoje se od prihoda od kamata na dane zajmove neprofitnim organizacijama, građanima i kućanstvima, odnosno javna sredstva naplaćena od kupaca, fizičkih osoba, kroz tzv. III. obrok u visini 11.004,04 e</w:t>
      </w:r>
      <w:r>
        <w:t xml:space="preserve">ura za POS </w:t>
      </w:r>
      <w:proofErr w:type="spellStart"/>
      <w:r>
        <w:t>Rujevica</w:t>
      </w:r>
      <w:proofErr w:type="spellEnd"/>
      <w:r>
        <w:t xml:space="preserve"> II. faza (stanovi i garaže), POS </w:t>
      </w:r>
      <w:proofErr w:type="spellStart"/>
      <w:r>
        <w:t>Hostov</w:t>
      </w:r>
      <w:proofErr w:type="spellEnd"/>
      <w:r>
        <w:t xml:space="preserve"> breg I. faza, POS Donja Drenova i POS </w:t>
      </w:r>
      <w:proofErr w:type="spellStart"/>
      <w:r>
        <w:t>Martinkovac</w:t>
      </w:r>
      <w:proofErr w:type="spellEnd"/>
      <w:r>
        <w:t xml:space="preserve"> I. faza te kamate obračunate po zajmu Gradu Rijeci za obročnu otplatu kupljenih nekretnina iz projekta </w:t>
      </w:r>
      <w:proofErr w:type="spellStart"/>
      <w:r>
        <w:t>Rujevica</w:t>
      </w:r>
      <w:proofErr w:type="spellEnd"/>
      <w:r>
        <w:t xml:space="preserve"> I. faza u visini 9.278,70 eura. Pr</w:t>
      </w:r>
      <w:r>
        <w:t>ihodi od kamate na dane zajmove ukupno iznose 20.282,74 eura s ostvarenjem manjim u odnosu na izvještajno razdoblje prethodne godine. Smanjenje prihoda od kamata na dane zajmove od 11,9% proizlazi iz smanjenja ostvarenih prihoda od kamate po zajmu Gradu Ri</w:t>
      </w:r>
      <w:r>
        <w:t>jeci za 24,9% zbog ugovorene dinamike otplate zajma po otplatnom planu. Prihodi od kamate na zajmove dane građanima ostvareni su na razini izvještajnog razdoblja prethodne godine.</w:t>
      </w:r>
    </w:p>
    <w:p w:rsidR="00185C10" w:rsidRDefault="00185C10"/>
    <w:p w:rsidR="00185C10" w:rsidRDefault="00743398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85C1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</w:t>
            </w:r>
            <w:r>
              <w:rPr>
                <w:b/>
                <w:sz w:val="18"/>
              </w:rPr>
              <w:t>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85C1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redovne djelatnosti proračunskih korisnika (šifre 6711 do 6714)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50.954,22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55.954,10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109,8</w:t>
            </w:r>
          </w:p>
        </w:tc>
      </w:tr>
    </w:tbl>
    <w:p w:rsidR="00185C10" w:rsidRDefault="00185C10">
      <w:pPr>
        <w:spacing w:after="0"/>
      </w:pPr>
    </w:p>
    <w:p w:rsidR="00185C10" w:rsidRDefault="00743398">
      <w:r>
        <w:t>Prihodi iz nadležnog proračuna za financiranje redovne djelatnosti proračunskih korisnika odnose se na prihode za financiranje rashoda poslovanja, sredstva iz proračuna Grada Rijeke, koja su isplaćena s računa Riznice Grada Rijeke za plaće i dio materijaln</w:t>
      </w:r>
      <w:r>
        <w:t xml:space="preserve">o-financijskih rashoda Agencije. U izvještajnom razdoblju tekuće godine ovi prihodi bilježe povećanje od 9,8%, ponajviše zbog povećanih rashoda za zaposlene koji su se povećali uslijed porasta plaća zaposlenih, ranije isplaćene </w:t>
      </w:r>
      <w:proofErr w:type="spellStart"/>
      <w:r>
        <w:t>uskrsnice</w:t>
      </w:r>
      <w:proofErr w:type="spellEnd"/>
      <w:r>
        <w:t xml:space="preserve"> nego prethodne god</w:t>
      </w:r>
      <w:r>
        <w:t>ine te troška sistematskog pregleda zaposlenika iz prethodne godine za koji je prihod ostvaren u tekućoj godini.</w:t>
      </w:r>
    </w:p>
    <w:p w:rsidR="00185C10" w:rsidRDefault="00185C10"/>
    <w:p w:rsidR="00185C10" w:rsidRDefault="00743398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85C1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</w:t>
            </w:r>
            <w:r>
              <w:rPr>
                <w:b/>
                <w:sz w:val="18"/>
              </w:rPr>
              <w:t>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85C1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78.555,43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78.767,18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100,3</w:t>
            </w:r>
          </w:p>
        </w:tc>
      </w:tr>
    </w:tbl>
    <w:p w:rsidR="00185C10" w:rsidRDefault="00185C10">
      <w:pPr>
        <w:spacing w:after="0"/>
      </w:pPr>
    </w:p>
    <w:p w:rsidR="00185C10" w:rsidRDefault="00743398">
      <w:r>
        <w:t>Rashodi poslovanja ostvareni su na razini prethodne godine i ukupno ne bilježe odstupanja u odnosu na prethodnu godinu. Rashodi za zaposlene zabilježili su povećanje ostvarenja u sličnom iznosu koliko su financijski rashodi ostvarili smanjene, dok materija</w:t>
      </w:r>
      <w:r>
        <w:t>lni rashodi ne bilježe odstupanja, stoga su rashodi poslovanja ostvareni na razini prethodne godine.</w:t>
      </w:r>
    </w:p>
    <w:p w:rsidR="00185C10" w:rsidRDefault="00185C10"/>
    <w:p w:rsidR="00185C10" w:rsidRDefault="00743398">
      <w:pPr>
        <w:keepNext/>
        <w:spacing w:line="240" w:lineRule="auto"/>
        <w:jc w:val="center"/>
      </w:pPr>
      <w:r>
        <w:rPr>
          <w:sz w:val="28"/>
        </w:rPr>
        <w:lastRenderedPageBreak/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85C1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</w:t>
            </w:r>
            <w:r>
              <w:rPr>
                <w:b/>
                <w:sz w:val="18"/>
              </w:rPr>
              <w:t>eks (%)</w:t>
            </w:r>
          </w:p>
        </w:tc>
      </w:tr>
      <w:tr w:rsidR="00185C1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Plaće (bruto) (šifre 3111 do 3114)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35.099,93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37.246,51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106,1</w:t>
            </w:r>
          </w:p>
        </w:tc>
      </w:tr>
    </w:tbl>
    <w:p w:rsidR="00185C10" w:rsidRDefault="00185C10">
      <w:pPr>
        <w:spacing w:after="0"/>
      </w:pPr>
    </w:p>
    <w:p w:rsidR="00185C10" w:rsidRDefault="00743398">
      <w:r>
        <w:t>Rashodi za bruto plaće u izvještajnom razdoblju bilježe povećanje ostvarenja od 6,1% zbog porasta osnovice za obračun plaća protekom izvještajnog razdoblja prethodne godine.</w:t>
      </w:r>
    </w:p>
    <w:p w:rsidR="00185C10" w:rsidRDefault="00185C10"/>
    <w:p w:rsidR="00185C10" w:rsidRDefault="00743398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85C1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85C1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rashodi za zaposlene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133,3</w:t>
            </w:r>
          </w:p>
        </w:tc>
      </w:tr>
    </w:tbl>
    <w:p w:rsidR="00185C10" w:rsidRDefault="00185C10">
      <w:pPr>
        <w:spacing w:after="0"/>
      </w:pPr>
    </w:p>
    <w:p w:rsidR="00185C10" w:rsidRDefault="00743398">
      <w:r>
        <w:t xml:space="preserve">Ostali rashodi za zaposlene bilježe povećanje ostvarenja od 33,3%, a razlog povećanju je isplata </w:t>
      </w:r>
      <w:proofErr w:type="spellStart"/>
      <w:r>
        <w:t>uskrsnice</w:t>
      </w:r>
      <w:proofErr w:type="spellEnd"/>
      <w:r>
        <w:t xml:space="preserve"> u mjesecu ožujku 2026. godine, dok je prethodne godine ona isplaćena u travnju.</w:t>
      </w:r>
    </w:p>
    <w:p w:rsidR="00185C10" w:rsidRDefault="00185C10"/>
    <w:p w:rsidR="00185C10" w:rsidRDefault="00743398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85C1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</w:t>
            </w:r>
            <w:r>
              <w:rPr>
                <w:b/>
                <w:sz w:val="18"/>
              </w:rPr>
              <w:t>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85C1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Doprinosi na plaće (šifre 3131 do 3133)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5.791,47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6.145,66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106,1</w:t>
            </w:r>
          </w:p>
        </w:tc>
      </w:tr>
    </w:tbl>
    <w:p w:rsidR="00185C10" w:rsidRDefault="00185C10">
      <w:pPr>
        <w:spacing w:after="0"/>
      </w:pPr>
    </w:p>
    <w:p w:rsidR="00185C10" w:rsidRDefault="00743398">
      <w:r>
        <w:t>Doprinosi na plaće bilježe povećanje od 6,1%, isto kao i bruto plaće, zbog porasta osnovice za obračun plaća zaposlenima.</w:t>
      </w:r>
    </w:p>
    <w:p w:rsidR="00185C10" w:rsidRDefault="00185C10"/>
    <w:p w:rsidR="00185C10" w:rsidRDefault="00743398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85C1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</w:t>
            </w:r>
            <w:r>
              <w:rPr>
                <w:b/>
                <w:sz w:val="18"/>
              </w:rPr>
              <w:t>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85C1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troškova zaposlenima (šifre 3211 do 3214)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1.734,12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1.305,77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75,3</w:t>
            </w:r>
          </w:p>
        </w:tc>
      </w:tr>
    </w:tbl>
    <w:p w:rsidR="00185C10" w:rsidRDefault="00185C10">
      <w:pPr>
        <w:spacing w:after="0"/>
      </w:pPr>
    </w:p>
    <w:p w:rsidR="00185C10" w:rsidRDefault="00743398">
      <w:r>
        <w:t xml:space="preserve">Naknade troškova zaposlenima sastoje se od naknade za prijevoz na posao i s posla u iznosu 1.218,09 eura i troška službenog putovanja u iznosu od 87,68 eura. Smanjenje ostvarenja od 24,7% rezultat je primjene obračunskog načela evidentiranja rashoda te je </w:t>
      </w:r>
      <w:r>
        <w:t>tijekom izvještajnog razdoblja tekuće godine evidentirana naknada za prijevoz za 3 mjeseca, dok je prethodne godine evidentirano 4 rashoda, s obzirom da se primjenjivalo modificirano načelo evidentiranja rashoda.</w:t>
      </w:r>
    </w:p>
    <w:p w:rsidR="00185C10" w:rsidRDefault="00185C10"/>
    <w:p w:rsidR="00185C10" w:rsidRDefault="00743398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85C1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</w:t>
            </w:r>
            <w:r>
              <w:rPr>
                <w:b/>
                <w:sz w:val="18"/>
              </w:rPr>
              <w:t>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85C1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materijal i energiju (šifre 3221 do 3227)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792,72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1.267,79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159,9</w:t>
            </w:r>
          </w:p>
        </w:tc>
      </w:tr>
    </w:tbl>
    <w:p w:rsidR="00185C10" w:rsidRDefault="00185C10">
      <w:pPr>
        <w:spacing w:after="0"/>
      </w:pPr>
    </w:p>
    <w:p w:rsidR="00185C10" w:rsidRDefault="00743398">
      <w:r>
        <w:t>Rashodi za materijal i energiju sastoje se od troškova uredskog materijala i ostalih materijalnih rashoda u iznosu 444,98 eura i troškova za električnu energiju u iznosu 822,81 eura i bilježe povećanje ostvarenja od 59,9% u izvještajnom razdoblju tekuće go</w:t>
      </w:r>
      <w:r>
        <w:t>dine. Rashodi za uredski materijal i ostale materijalne rashode bilježe povećanje jer u izvještajnom razdoblju prethodne godine nije nabavljen uredski materijal i sredstva za održavanje i čišćenje, dok rashodi za energiju bilježe povećanje zbog smanjenja i</w:t>
      </w:r>
      <w:r>
        <w:t>znosa umanjenja računa za električnu energiju Uredbom Vlade RH, što je dovelo do povećanja cijene električne energije.</w:t>
      </w:r>
    </w:p>
    <w:p w:rsidR="00185C10" w:rsidRDefault="00185C10"/>
    <w:p w:rsidR="00185C10" w:rsidRDefault="00743398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85C1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</w:t>
            </w:r>
            <w:r>
              <w:rPr>
                <w:b/>
                <w:sz w:val="18"/>
              </w:rPr>
              <w:t>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85C1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usluge (šifre 3231 do 3239)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10.472,38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10.469,49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100,0</w:t>
            </w:r>
          </w:p>
        </w:tc>
      </w:tr>
    </w:tbl>
    <w:p w:rsidR="00185C10" w:rsidRDefault="00185C10">
      <w:pPr>
        <w:spacing w:after="0"/>
      </w:pPr>
    </w:p>
    <w:p w:rsidR="00185C10" w:rsidRDefault="00743398">
      <w:r>
        <w:t>Rashodi za usluge ostvareni su na razini izvještajnog razdoblja prethodne godine. Sastoje se od usluga telefona, interneta i pošte, komunalne usluge, zakupnina i najamnina, intelektualnih, računalnih te ostalih usluga.</w:t>
      </w:r>
    </w:p>
    <w:p w:rsidR="00185C10" w:rsidRDefault="00185C10"/>
    <w:p w:rsidR="00185C10" w:rsidRDefault="00743398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85C1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</w:t>
            </w:r>
            <w:r>
              <w:rPr>
                <w:b/>
                <w:sz w:val="18"/>
              </w:rPr>
              <w:t>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85C1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rashodi poslovanja (šifre 3291 do 3299)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225,27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227,27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100,9</w:t>
            </w:r>
          </w:p>
        </w:tc>
      </w:tr>
    </w:tbl>
    <w:p w:rsidR="00185C10" w:rsidRDefault="00185C10">
      <w:pPr>
        <w:spacing w:after="0"/>
      </w:pPr>
    </w:p>
    <w:p w:rsidR="00185C10" w:rsidRDefault="00743398">
      <w:r>
        <w:t>Ostali nespomenuti rashodi poslovanja sastoje se isključivo od premije osiguranja u iznosu 227,27 eura i te su ostvareni na razini izvještajnog razdoblja prethodne godine.</w:t>
      </w:r>
    </w:p>
    <w:p w:rsidR="00185C10" w:rsidRDefault="00185C10"/>
    <w:p w:rsidR="00185C10" w:rsidRDefault="00743398">
      <w:pPr>
        <w:keepNext/>
        <w:spacing w:line="240" w:lineRule="auto"/>
        <w:jc w:val="center"/>
      </w:pPr>
      <w:r>
        <w:rPr>
          <w:sz w:val="28"/>
        </w:rPr>
        <w:lastRenderedPageBreak/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85C1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</w:t>
            </w:r>
            <w:r>
              <w:rPr>
                <w:b/>
                <w:sz w:val="18"/>
              </w:rPr>
              <w:t>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85C1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Kamate za primljene kredite i zajmove (šifre 3421 do 3428)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23.033,20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20.282,74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88,1</w:t>
            </w:r>
          </w:p>
        </w:tc>
      </w:tr>
    </w:tbl>
    <w:p w:rsidR="00185C10" w:rsidRDefault="00185C10">
      <w:pPr>
        <w:spacing w:after="0"/>
      </w:pPr>
    </w:p>
    <w:p w:rsidR="00185C10" w:rsidRDefault="00743398">
      <w:r>
        <w:t>Kamate za primljene zajmove odnose se na kamate za primljene zajmove od drugih razina vlasti odnosno za zajmove Grada Rijeke te zajam od Agencije za pravni promet i posredovanje nekretninama za kapitalne projekte izgradnje stanova POS-a koje bilježe smanje</w:t>
      </w:r>
      <w:r>
        <w:t>nje od 11,9%. Smanjenje u izvještajnom razdoblju tekuće godine u skladu je s dinamikom povrata kamata Agenciji za pravni promet i posredovanje nekretninama i Gradu Rijeci, a koje su naplaćene od fizičkih osoba za tzv. III obrok i od Grada Rijeke za robni k</w:t>
      </w:r>
      <w:r>
        <w:t>redit. Ovi financijski rashodi istovjetni su prihodima od kamata na dane zajmove.</w:t>
      </w:r>
    </w:p>
    <w:p w:rsidR="00185C10" w:rsidRDefault="00185C10"/>
    <w:p w:rsidR="00185C10" w:rsidRDefault="00743398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85C1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85C1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financijski rashodi (šifre 3431 do 3434)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206,34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221,95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107,6</w:t>
            </w:r>
          </w:p>
        </w:tc>
      </w:tr>
    </w:tbl>
    <w:p w:rsidR="00185C10" w:rsidRDefault="00185C10">
      <w:pPr>
        <w:spacing w:after="0"/>
      </w:pPr>
    </w:p>
    <w:p w:rsidR="00185C10" w:rsidRDefault="00743398">
      <w:r>
        <w:t>Ostali financijski rashodi odnose se na bankarske usluge i usluge platnog prometa i zatezne kamate te bilježe povećanje od 7,6% u izvještajnom razdoblju tekuće godine, zbog poskupljenja bankarskih naknada u izvještajnom razdoblju tekuće godine.</w:t>
      </w:r>
    </w:p>
    <w:p w:rsidR="00185C10" w:rsidRDefault="00185C10"/>
    <w:p w:rsidR="00185C10" w:rsidRDefault="00743398">
      <w:pPr>
        <w:keepNext/>
        <w:spacing w:line="240" w:lineRule="auto"/>
        <w:jc w:val="center"/>
      </w:pPr>
      <w:r>
        <w:rPr>
          <w:sz w:val="28"/>
        </w:rPr>
        <w:t>Bilješka 1</w:t>
      </w:r>
      <w:r>
        <w:rPr>
          <w:sz w:val="28"/>
        </w:rPr>
        <w:t>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85C1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85C1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189.860,88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95.667,58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50,4</w:t>
            </w:r>
          </w:p>
        </w:tc>
      </w:tr>
    </w:tbl>
    <w:p w:rsidR="00185C10" w:rsidRDefault="00185C10">
      <w:pPr>
        <w:spacing w:after="0"/>
      </w:pPr>
    </w:p>
    <w:p w:rsidR="00185C10" w:rsidRDefault="00743398">
      <w:r>
        <w:t>Primici od financijske imovine i zaduživanja bilježe značajno smanjenje od 49,6% zbog smanjena primitaka (povrata) zajmova danih građanima jer u izvještajnom razdoblju tekuće godine nije bilo prijevremenih otplata zajmova danih građanima.</w:t>
      </w:r>
    </w:p>
    <w:p w:rsidR="00185C10" w:rsidRDefault="00185C10"/>
    <w:p w:rsidR="00185C10" w:rsidRDefault="00743398">
      <w:pPr>
        <w:keepNext/>
        <w:spacing w:line="240" w:lineRule="auto"/>
        <w:jc w:val="center"/>
      </w:pPr>
      <w:r>
        <w:rPr>
          <w:sz w:val="28"/>
        </w:rPr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85C1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</w:t>
            </w:r>
            <w:r>
              <w:rPr>
                <w:b/>
                <w:sz w:val="18"/>
              </w:rPr>
              <w:t xml:space="preserve">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85C1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Primici (povrati) glavnice zajmova danih neprofitnim organizacijama, građanima i kućanstvima (šifre </w:t>
            </w:r>
            <w:r>
              <w:rPr>
                <w:sz w:val="18"/>
              </w:rPr>
              <w:t>8121+8122)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129.564,07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32.298,93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24,9</w:t>
            </w:r>
          </w:p>
        </w:tc>
      </w:tr>
    </w:tbl>
    <w:p w:rsidR="00185C10" w:rsidRDefault="00185C10">
      <w:pPr>
        <w:spacing w:after="0"/>
      </w:pPr>
    </w:p>
    <w:p w:rsidR="00185C10" w:rsidRDefault="00743398">
      <w:r>
        <w:lastRenderedPageBreak/>
        <w:t>Primici (povrati) glavnice zajmova danih neprofitnim organizacijama, građanima i kućanstvima odnose se na primitke (povrate) glavnica zajmova danih građanima (fizičkim osobama) kroz tzv. III obrok za 4 projekta poticane stanogradnje i ovise o dinamici zatv</w:t>
      </w:r>
      <w:r>
        <w:t xml:space="preserve">aranja obveza građana prema otplatnim planovima te prijevremenim zatvaranjem tih obveza. Ostvarenje u visini 32.298,93 eura po projektima je: POS </w:t>
      </w:r>
      <w:proofErr w:type="spellStart"/>
      <w:r>
        <w:t>Rujevica</w:t>
      </w:r>
      <w:proofErr w:type="spellEnd"/>
      <w:r>
        <w:t xml:space="preserve"> II. faza 19.593,26 eura, POS Donja Drenova 3.151,31 eura, POS </w:t>
      </w:r>
      <w:proofErr w:type="spellStart"/>
      <w:r>
        <w:t>Hostov</w:t>
      </w:r>
      <w:proofErr w:type="spellEnd"/>
      <w:r>
        <w:t xml:space="preserve"> Breg I. faza 5.227,16 eura i POS</w:t>
      </w:r>
      <w:r>
        <w:t xml:space="preserve"> </w:t>
      </w:r>
      <w:proofErr w:type="spellStart"/>
      <w:r>
        <w:t>Martinkovac</w:t>
      </w:r>
      <w:proofErr w:type="spellEnd"/>
      <w:r>
        <w:t xml:space="preserve"> I. faza 4.327,20 eura. U izvještajnom razdoblju tekuće godine nije postojalo prijevremenih otplata zajmova, dok je prethodne godine troje građana prijevremeno otplatilo dobivene zajmove, a glavnice su otplaćene u visini 99.628,27 eura. Naveden</w:t>
      </w:r>
      <w:r>
        <w:t>o je dovelo do smanjenja ostvarenja primitaka (povrata) glavnica zajmova danih građanima od 75,1% u tekućoj godini.</w:t>
      </w:r>
    </w:p>
    <w:p w:rsidR="00185C10" w:rsidRDefault="00185C10"/>
    <w:p w:rsidR="00185C10" w:rsidRDefault="00743398">
      <w:pPr>
        <w:keepNext/>
        <w:spacing w:line="240" w:lineRule="auto"/>
        <w:jc w:val="center"/>
      </w:pPr>
      <w:r>
        <w:rPr>
          <w:sz w:val="28"/>
        </w:rPr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85C1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</w:t>
            </w:r>
            <w:r>
              <w:rPr>
                <w:b/>
                <w:sz w:val="18"/>
              </w:rPr>
              <w:t>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85C1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817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Povrat zajmova danih drugim razinama vlasti (šifre 8171 do 8177)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817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60.296,81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63.368,65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105,1</w:t>
            </w:r>
          </w:p>
        </w:tc>
      </w:tr>
    </w:tbl>
    <w:p w:rsidR="00185C10" w:rsidRDefault="00185C10">
      <w:pPr>
        <w:spacing w:after="0"/>
      </w:pPr>
    </w:p>
    <w:p w:rsidR="00185C10" w:rsidRDefault="00743398">
      <w:r>
        <w:t xml:space="preserve">Povrati zajmova danih drugim razinama vlasti odnosi se na povrat zajmova danih gradskim proračunima - Gradu Rijeci vezano za obročnu otplatu kupljenih nekretnina iz projekta POS </w:t>
      </w:r>
      <w:proofErr w:type="spellStart"/>
      <w:r>
        <w:t>Rujevica</w:t>
      </w:r>
      <w:proofErr w:type="spellEnd"/>
      <w:r>
        <w:t xml:space="preserve"> I. faza u iznosu 63.368,65 eura. Povećanje od 5,1% za povrate zajmova</w:t>
      </w:r>
      <w:r>
        <w:t xml:space="preserve"> danih gradskih proračunima u skladu je s dinamikom porasta koji se bilježi u ovom izvještajnom razdoblju svake godine.</w:t>
      </w:r>
    </w:p>
    <w:p w:rsidR="00185C10" w:rsidRDefault="00185C10"/>
    <w:p w:rsidR="00185C10" w:rsidRDefault="00743398">
      <w:pPr>
        <w:keepNext/>
        <w:spacing w:line="240" w:lineRule="auto"/>
        <w:jc w:val="center"/>
      </w:pPr>
      <w:r>
        <w:rPr>
          <w:sz w:val="28"/>
        </w:rPr>
        <w:t>Bilješka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85C1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</w:t>
            </w:r>
            <w:r>
              <w:rPr>
                <w:b/>
                <w:sz w:val="18"/>
              </w:rPr>
              <w:t>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85C1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189.860,88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95.667,58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50,4</w:t>
            </w:r>
          </w:p>
        </w:tc>
      </w:tr>
    </w:tbl>
    <w:p w:rsidR="00185C10" w:rsidRDefault="00185C10">
      <w:pPr>
        <w:spacing w:after="0"/>
      </w:pPr>
    </w:p>
    <w:p w:rsidR="00185C10" w:rsidRDefault="00743398">
      <w:r>
        <w:t xml:space="preserve">Izdaci za financijsku imovinu i otplate zajmova u izvještajnom razdoblju iznose 95.667,58 eura i bilježe smanjenje ostvarenja od 49,6%. Izdaci za financijsku imovinu istovjetni su primicima od financijske imovine i bilježe jednako smanjenje ostvarenja jer </w:t>
      </w:r>
      <w:r>
        <w:t>se primici (povrati) glavnica zajmova danih građanima (fizičkim osobama) kroz tzv. III obrok po naplati vraćaju Agenciji za pravni promet i posredovanje nekretninama i Gradu Rijeci. Smanjenje izdataka za financijsku imovinu i otplate zajmova nastalo je jer</w:t>
      </w:r>
      <w:r>
        <w:t xml:space="preserve"> u izvještajnom razdoblju tekuće godine nisu zabilježene prijevremene otplate zajmova danih građanima.</w:t>
      </w:r>
    </w:p>
    <w:p w:rsidR="00185C10" w:rsidRDefault="00185C10"/>
    <w:p w:rsidR="00185C10" w:rsidRDefault="00743398">
      <w:pPr>
        <w:keepNext/>
        <w:spacing w:line="240" w:lineRule="auto"/>
        <w:jc w:val="center"/>
      </w:pPr>
      <w:r>
        <w:rPr>
          <w:sz w:val="28"/>
        </w:rPr>
        <w:lastRenderedPageBreak/>
        <w:t>Bilješka 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185C1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185C1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547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Otplata glavnice primljenih zajmova od drugih razina vlasti (šifre 5471 do 5477)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547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189.860,88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95.667,58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185C10" w:rsidRDefault="00743398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50,4</w:t>
            </w:r>
          </w:p>
        </w:tc>
      </w:tr>
    </w:tbl>
    <w:p w:rsidR="00185C10" w:rsidRDefault="00185C10">
      <w:pPr>
        <w:spacing w:after="0"/>
      </w:pPr>
    </w:p>
    <w:p w:rsidR="00185C10" w:rsidRDefault="00743398">
      <w:r>
        <w:t>Otplata glavnice primljenih zajmova od drugih razina vlasti sastoji se od otplata glavnice primljenih zajmova od državnog proračuna u iznosu 82.147,24 eura koja bilježi smanjenje od 37,6% i otplata glavnice primljenih zajmova od gradskih proračuna u iznosu</w:t>
      </w:r>
      <w:r>
        <w:t xml:space="preserve"> 13.520,34 eura sa smanjenjem od 76,8% u odnosu na izvještajno razdoblje prethodne godine.</w:t>
      </w:r>
    </w:p>
    <w:p w:rsidR="00185C10" w:rsidRDefault="00743398">
      <w:r>
        <w:t>Otplate glavnica u tekućem razdoblju obuhvaćaju:</w:t>
      </w:r>
    </w:p>
    <w:p w:rsidR="00185C10" w:rsidRDefault="00743398">
      <w:r>
        <w:t>- otplatu glavnica primljenih zajmova od državnog proračuna za plasirana javna sredstva (tzv. III obrok) u iznosu od</w:t>
      </w:r>
      <w:r>
        <w:t xml:space="preserve"> 82.147,24 eura. Otplaćene glavnice zajmova Agencije za pravni promet i posredovanje nekretninama za projekt POS </w:t>
      </w:r>
      <w:proofErr w:type="spellStart"/>
      <w:r>
        <w:t>Rujevica</w:t>
      </w:r>
      <w:proofErr w:type="spellEnd"/>
      <w:r>
        <w:t xml:space="preserve"> I. faza iznose 63.368,65eura, POS </w:t>
      </w:r>
      <w:proofErr w:type="spellStart"/>
      <w:r>
        <w:t>Rujevica</w:t>
      </w:r>
      <w:proofErr w:type="spellEnd"/>
      <w:r>
        <w:t xml:space="preserve"> II. faza 9.378,83 eura, POS Donja Drenova 2.520,64 eura, POS </w:t>
      </w:r>
      <w:proofErr w:type="spellStart"/>
      <w:r>
        <w:t>Hostov</w:t>
      </w:r>
      <w:proofErr w:type="spellEnd"/>
      <w:r>
        <w:t xml:space="preserve"> breg I. faza 3.418,32 e</w:t>
      </w:r>
      <w:r>
        <w:t xml:space="preserve">ura i POS </w:t>
      </w:r>
      <w:proofErr w:type="spellStart"/>
      <w:r>
        <w:t>Martinkovac</w:t>
      </w:r>
      <w:proofErr w:type="spellEnd"/>
      <w:r>
        <w:t xml:space="preserve"> I. faza 3.460,80 eura;  </w:t>
      </w:r>
    </w:p>
    <w:p w:rsidR="00185C10" w:rsidRDefault="00743398">
      <w:r>
        <w:t xml:space="preserve">- otplatu glavnica primljenih zajmova gradskog proračuna (Grada Rijeke) u iznosu od 13.520,34 eura za plasirana javna sredstva (tzv. III obrok) iz projekta POS </w:t>
      </w:r>
      <w:proofErr w:type="spellStart"/>
      <w:r>
        <w:t>Rujevica</w:t>
      </w:r>
      <w:proofErr w:type="spellEnd"/>
      <w:r>
        <w:t xml:space="preserve"> II. faza u iznosu od 10.214,43 eura, POS</w:t>
      </w:r>
      <w:r>
        <w:t xml:space="preserve"> Donja Drenova u iznosu od 630,67 eura, POS </w:t>
      </w:r>
      <w:proofErr w:type="spellStart"/>
      <w:r>
        <w:t>Hostov</w:t>
      </w:r>
      <w:proofErr w:type="spellEnd"/>
      <w:r>
        <w:t xml:space="preserve"> breg I. faza 1.808,84 eura i POS </w:t>
      </w:r>
      <w:proofErr w:type="spellStart"/>
      <w:r>
        <w:t>Martinkovac</w:t>
      </w:r>
      <w:proofErr w:type="spellEnd"/>
      <w:r>
        <w:t xml:space="preserve"> I. faza 866,40 eura.</w:t>
      </w:r>
    </w:p>
    <w:p w:rsidR="00185C10" w:rsidRDefault="00743398">
      <w:r>
        <w:t>Smanjenje otplata glavnice primljenih zajmova od drugih razina vlasti od 49,6% proizlazi iz smanjenja primitaka od financijske imovine u is</w:t>
      </w:r>
      <w:r>
        <w:t>tom iznosu i postotku (vidi bilješku 16).</w:t>
      </w:r>
    </w:p>
    <w:p w:rsidR="00185C10" w:rsidRDefault="00185C10"/>
    <w:sectPr w:rsidR="00185C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C10"/>
    <w:rsid w:val="00185C10"/>
    <w:rsid w:val="00743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009912-D0DF-49F6-B517-46759E67E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2436</Words>
  <Characters>13890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Cvitković Željko</dc:creator>
  <cp:lastModifiedBy>Cvitković Željko</cp:lastModifiedBy>
  <cp:revision>2</cp:revision>
  <dcterms:created xsi:type="dcterms:W3CDTF">2026-04-15T12:04:00Z</dcterms:created>
  <dcterms:modified xsi:type="dcterms:W3CDTF">2026-04-15T12:04:00Z</dcterms:modified>
</cp:coreProperties>
</file>